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9A3F" w14:textId="77777777" w:rsidR="00796511" w:rsidRPr="007225E9" w:rsidRDefault="00796511" w:rsidP="00796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5E9">
        <w:rPr>
          <w:rFonts w:ascii="Times New Roman" w:hAnsi="Times New Roman" w:cs="Times New Roman"/>
          <w:b/>
          <w:sz w:val="28"/>
          <w:szCs w:val="28"/>
        </w:rPr>
        <w:t>Перечень тематик стратегического проекта «Цифровая трансформация: технологии, эффекты, эффективность»</w:t>
      </w:r>
    </w:p>
    <w:p w14:paraId="1CC635D6" w14:textId="77777777" w:rsidR="00796511" w:rsidRPr="007225E9" w:rsidRDefault="00796511" w:rsidP="00796511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Исследования и разработки технологий»</w:t>
      </w:r>
      <w:r w:rsidRPr="007225E9">
        <w:rPr>
          <w:rFonts w:ascii="Times New Roman" w:eastAsia="Calibri" w:hAnsi="Times New Roman" w:cs="Times New Roman"/>
          <w:bCs/>
          <w:sz w:val="28"/>
          <w:szCs w:val="28"/>
        </w:rPr>
        <w:t xml:space="preserve"> – перспективные технологические решения для цифровой трансформации, включая:</w:t>
      </w:r>
    </w:p>
    <w:p w14:paraId="7B0C0923" w14:textId="77777777" w:rsidR="00796511" w:rsidRPr="007225E9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Цифровые технологии, методы и технологии машинного обучения и искусственный интеллект (ИИ), в т.ч.</w:t>
      </w:r>
    </w:p>
    <w:p w14:paraId="17C77EF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глубинное обучение и байесовские методы машинного обучения,</w:t>
      </w:r>
    </w:p>
    <w:p w14:paraId="5B5EE8A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п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овышение прозрачности моделей ИИ (</w:t>
      </w:r>
      <w:proofErr w:type="spellStart"/>
      <w:r w:rsidRPr="007225E9">
        <w:rPr>
          <w:rFonts w:ascii="Times New Roman" w:eastAsia="Calibri" w:hAnsi="Times New Roman" w:cs="Times New Roman"/>
          <w:sz w:val="28"/>
          <w:szCs w:val="28"/>
        </w:rPr>
        <w:t>ExplainableAI</w:t>
      </w:r>
      <w:proofErr w:type="spellEnd"/>
      <w:r w:rsidRPr="007225E9">
        <w:rPr>
          <w:rFonts w:ascii="Times New Roman" w:eastAsia="Calibri" w:hAnsi="Times New Roman" w:cs="Times New Roman"/>
          <w:sz w:val="28"/>
          <w:szCs w:val="28"/>
        </w:rPr>
        <w:t>)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103278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генеративное моделирование,</w:t>
      </w:r>
    </w:p>
    <w:p w14:paraId="7F6D23B2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новые механизмы обучения ИИ,</w:t>
      </w:r>
    </w:p>
    <w:p w14:paraId="18FF5868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интерпретируемость генеративных моделей,</w:t>
      </w:r>
    </w:p>
    <w:p w14:paraId="16EF414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чувствительность </w:t>
      </w: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предобученных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языковых моделей к языковым феноменам,</w:t>
      </w:r>
    </w:p>
    <w:p w14:paraId="73A752A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модели персонализированного адаптивного обучения,</w:t>
      </w:r>
    </w:p>
    <w:p w14:paraId="751A83B1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м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ашинное обучение в фармацевтике,</w:t>
      </w:r>
    </w:p>
    <w:p w14:paraId="153B11F8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обработка естественного языка,</w:t>
      </w:r>
    </w:p>
    <w:p w14:paraId="162D038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компьютерное зрение,</w:t>
      </w:r>
    </w:p>
    <w:p w14:paraId="57ED20DE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оптоэлектроника,</w:t>
      </w:r>
    </w:p>
    <w:p w14:paraId="3F12C1C9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диагностирование и предсказания аномалий,</w:t>
      </w:r>
    </w:p>
    <w:p w14:paraId="4DA10D64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интеллектуальные технологии построения быстрых имитационных моделей сложных систем,</w:t>
      </w:r>
    </w:p>
    <w:p w14:paraId="368B993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нейросетевые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модели для прогнозирования,</w:t>
      </w:r>
    </w:p>
    <w:p w14:paraId="248164F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интеллектуальная диагностика и прогнозирование,</w:t>
      </w:r>
    </w:p>
    <w:p w14:paraId="130B21FD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ИИ-платформы (в т.ч. </w:t>
      </w: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AIOps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>),</w:t>
      </w:r>
    </w:p>
    <w:p w14:paraId="2D239A9D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машинное обучение в анализе и применении права (машиночитаемое право),</w:t>
      </w:r>
    </w:p>
    <w:p w14:paraId="49EF3940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нейрокогнитивные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и медицинские цифровые технологии.</w:t>
      </w:r>
    </w:p>
    <w:p w14:paraId="79741946" w14:textId="77777777" w:rsidR="00796511" w:rsidRPr="007225E9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Перспективные технологии для киберфизических систем</w:t>
      </w:r>
    </w:p>
    <w:p w14:paraId="75FA8824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фундаментальные и прикладные проблемы создания сетей связи 6G: создание высокоскоростной технологии передачи данных в </w:t>
      </w: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терагерцовом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диапазоне, технологии связи в рамках концепций M2M и URLLC;</w:t>
      </w:r>
    </w:p>
    <w:p w14:paraId="2745B4B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новые технологии </w:t>
      </w: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терагерцовых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приемопередатчиков для обеспечения потребностей сетей связи 6G;</w:t>
      </w:r>
    </w:p>
    <w:p w14:paraId="38323F5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перспективные многофункциональные частотно-селективные приборы и устройства </w:t>
      </w: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терагерцовой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электроники, интернета вещей и киберфизических систем;</w:t>
      </w:r>
    </w:p>
    <w:p w14:paraId="7AB4162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разработка новых методов и средств обеспечения безопасности систем объектов критической информационной инфраструктуры и киберфизических систем;</w:t>
      </w:r>
    </w:p>
    <w:p w14:paraId="69C2256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защита систем искусственного интеллекта;</w:t>
      </w:r>
    </w:p>
    <w:p w14:paraId="58213DB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новые методы криптозащиты, </w:t>
      </w:r>
      <w:proofErr w:type="spellStart"/>
      <w:r w:rsidRPr="007225E9">
        <w:rPr>
          <w:rFonts w:ascii="Times New Roman" w:eastAsia="Times New Roman" w:hAnsi="Times New Roman" w:cs="Times New Roman"/>
          <w:sz w:val="28"/>
          <w:szCs w:val="28"/>
        </w:rPr>
        <w:t>постквантовая</w:t>
      </w:r>
      <w:proofErr w:type="spellEnd"/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и легкая криптография;</w:t>
      </w:r>
    </w:p>
    <w:p w14:paraId="0E49DE9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системы умного дома.</w:t>
      </w:r>
    </w:p>
    <w:p w14:paraId="42ED0E6A" w14:textId="77777777" w:rsidR="00796511" w:rsidRPr="007225E9" w:rsidRDefault="00796511" w:rsidP="00796511">
      <w:pPr>
        <w:numPr>
          <w:ilvl w:val="0"/>
          <w:numId w:val="11"/>
        </w:numPr>
        <w:spacing w:before="36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«Социально-экономические исследования»</w:t>
      </w:r>
      <w:r w:rsidRPr="007225E9">
        <w:rPr>
          <w:rFonts w:ascii="Times New Roman" w:eastAsia="Calibri" w:hAnsi="Times New Roman" w:cs="Times New Roman"/>
          <w:sz w:val="28"/>
          <w:szCs w:val="28"/>
        </w:rPr>
        <w:t xml:space="preserve"> – выявление, анализ и оценка эффектов и эффективности цифровой трансформации для экономики и общества, включая:</w:t>
      </w:r>
    </w:p>
    <w:p w14:paraId="1B4EBDE5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формирование методов и моделей для системы измерений цифровой экономики, в т.ч. подходы к выявлению и системной оценке эффектов и рисков цифровой трансформации;</w:t>
      </w:r>
    </w:p>
    <w:p w14:paraId="36D7B550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макроэкономическое моделирование, прогнозирование влияния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="009B2BC9" w:rsidRPr="0072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на экономический рост, оценка вклада в ВВП, </w:t>
      </w:r>
      <w:r w:rsidRPr="007225E9">
        <w:rPr>
          <w:rFonts w:ascii="Times New Roman" w:eastAsia="Calibri" w:hAnsi="Times New Roman" w:cs="Times New Roman"/>
          <w:sz w:val="28"/>
          <w:szCs w:val="28"/>
        </w:rPr>
        <w:t>структурные факторы цифровой трансформации;</w:t>
      </w:r>
    </w:p>
    <w:p w14:paraId="0C537D9B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исследование цифровой трансформации отраслей экономики и социальной сферы (новые бизнес-модели, рынки, регулирование, динамика, эффекты, изменение глобальных цепочек создания стоимости и возможности встраивания России в них и др.);</w:t>
      </w:r>
    </w:p>
    <w:p w14:paraId="7A0657FB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анализ рисков для цифровой трансформации экономики;</w:t>
      </w:r>
    </w:p>
    <w:p w14:paraId="606A2C9F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Форсайт цифровой экономики и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, в т.ч. перспективные области применения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3EB417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исследование социальных и экономических аспектов развития цифровых технологий;</w:t>
      </w:r>
    </w:p>
    <w:p w14:paraId="548FB883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цифровой трансформации</w:t>
      </w:r>
      <w:r w:rsidR="009B2BC9" w:rsidRPr="0072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на общество и человека (в т.ч. цифровая бедность, рынок труда, миграция, оценка восприятия новых технических решений, открытости к цифровым инновациям и др.), меры по </w:t>
      </w:r>
      <w:r w:rsidRPr="007225E9">
        <w:rPr>
          <w:rFonts w:ascii="Times New Roman" w:eastAsia="Calibri" w:hAnsi="Times New Roman" w:cs="Times New Roman"/>
          <w:sz w:val="28"/>
          <w:szCs w:val="28"/>
        </w:rPr>
        <w:t>адаптации человека к вызовам цифрового общества;</w:t>
      </w:r>
    </w:p>
    <w:p w14:paraId="28A6517C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исследования поведения человека в цифровом мире (психология, физиология, нейробиология и др.);</w:t>
      </w:r>
    </w:p>
    <w:p w14:paraId="0F90B800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домохозяйств;</w:t>
      </w:r>
    </w:p>
    <w:p w14:paraId="3DEF8316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образования и науки</w:t>
      </w:r>
      <w:r w:rsidRPr="007225E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4A77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цифровая трансформация государственного управления, в т.ч. </w:t>
      </w:r>
      <w:r w:rsidRPr="00722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подходы к </w:t>
      </w:r>
      <w:proofErr w:type="spellStart"/>
      <w:r w:rsidRPr="007225E9">
        <w:rPr>
          <w:rFonts w:ascii="Times New Roman" w:eastAsia="Calibri" w:hAnsi="Times New Roman" w:cs="Times New Roman"/>
          <w:color w:val="000000"/>
          <w:sz w:val="28"/>
          <w:szCs w:val="28"/>
        </w:rPr>
        <w:t>датацентричному</w:t>
      </w:r>
      <w:proofErr w:type="spellEnd"/>
      <w:r w:rsidRPr="007225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государству;</w:t>
      </w:r>
    </w:p>
    <w:p w14:paraId="0419CDEA" w14:textId="77777777" w:rsidR="00796511" w:rsidRPr="007225E9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Times New Roman" w:hAnsi="Times New Roman" w:cs="Times New Roman"/>
          <w:sz w:val="28"/>
          <w:szCs w:val="28"/>
        </w:rPr>
        <w:t>проектирование новых институтов и регулирования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методов доказательной политики</w:t>
      </w:r>
      <w:r w:rsidR="009B2BC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25E9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цифровой трансформации.</w:t>
      </w:r>
    </w:p>
    <w:p w14:paraId="47E509F9" w14:textId="32DE6498" w:rsidR="00796511" w:rsidRPr="007225E9" w:rsidRDefault="00796511" w:rsidP="00796511">
      <w:pPr>
        <w:rPr>
          <w:rFonts w:ascii="Times New Roman" w:eastAsia="Calibri" w:hAnsi="Times New Roman" w:cs="Times New Roman"/>
          <w:bCs/>
        </w:rPr>
      </w:pPr>
    </w:p>
    <w:sectPr w:rsidR="00796511" w:rsidRPr="007225E9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AFA8C" w14:textId="77777777" w:rsidR="00114DFC" w:rsidRDefault="00114DFC" w:rsidP="006F650C">
      <w:pPr>
        <w:spacing w:after="0" w:line="240" w:lineRule="auto"/>
      </w:pPr>
      <w:r>
        <w:separator/>
      </w:r>
    </w:p>
  </w:endnote>
  <w:endnote w:type="continuationSeparator" w:id="0">
    <w:p w14:paraId="31DDBAC6" w14:textId="77777777" w:rsidR="00114DFC" w:rsidRDefault="00114DFC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1156" w14:textId="77777777" w:rsidR="00114DFC" w:rsidRDefault="00114DFC" w:rsidP="006F650C">
      <w:pPr>
        <w:spacing w:after="0" w:line="240" w:lineRule="auto"/>
      </w:pPr>
      <w:r>
        <w:separator/>
      </w:r>
    </w:p>
  </w:footnote>
  <w:footnote w:type="continuationSeparator" w:id="0">
    <w:p w14:paraId="18344755" w14:textId="77777777" w:rsidR="00114DFC" w:rsidRDefault="00114DFC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8186353">
    <w:abstractNumId w:val="15"/>
  </w:num>
  <w:num w:numId="2" w16cid:durableId="1719278759">
    <w:abstractNumId w:val="19"/>
  </w:num>
  <w:num w:numId="3" w16cid:durableId="2003586782">
    <w:abstractNumId w:val="12"/>
  </w:num>
  <w:num w:numId="4" w16cid:durableId="1360668904">
    <w:abstractNumId w:val="8"/>
  </w:num>
  <w:num w:numId="5" w16cid:durableId="1779333931">
    <w:abstractNumId w:val="9"/>
  </w:num>
  <w:num w:numId="6" w16cid:durableId="587619878">
    <w:abstractNumId w:val="14"/>
  </w:num>
  <w:num w:numId="7" w16cid:durableId="1862431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34773">
    <w:abstractNumId w:val="11"/>
  </w:num>
  <w:num w:numId="9" w16cid:durableId="1699501860">
    <w:abstractNumId w:val="13"/>
  </w:num>
  <w:num w:numId="10" w16cid:durableId="1618219335">
    <w:abstractNumId w:val="3"/>
  </w:num>
  <w:num w:numId="11" w16cid:durableId="1093673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00806">
    <w:abstractNumId w:val="24"/>
  </w:num>
  <w:num w:numId="13" w16cid:durableId="1725834542">
    <w:abstractNumId w:val="22"/>
  </w:num>
  <w:num w:numId="14" w16cid:durableId="577714535">
    <w:abstractNumId w:val="16"/>
  </w:num>
  <w:num w:numId="15" w16cid:durableId="743063339">
    <w:abstractNumId w:val="10"/>
  </w:num>
  <w:num w:numId="16" w16cid:durableId="191919820">
    <w:abstractNumId w:val="18"/>
  </w:num>
  <w:num w:numId="17" w16cid:durableId="443771180">
    <w:abstractNumId w:val="6"/>
  </w:num>
  <w:num w:numId="18" w16cid:durableId="539631430">
    <w:abstractNumId w:val="23"/>
  </w:num>
  <w:num w:numId="19" w16cid:durableId="1386446672">
    <w:abstractNumId w:val="21"/>
  </w:num>
  <w:num w:numId="20" w16cid:durableId="1850869561">
    <w:abstractNumId w:val="25"/>
  </w:num>
  <w:num w:numId="21" w16cid:durableId="634605392">
    <w:abstractNumId w:val="1"/>
  </w:num>
  <w:num w:numId="22" w16cid:durableId="136259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275114">
    <w:abstractNumId w:val="17"/>
  </w:num>
  <w:num w:numId="24" w16cid:durableId="1957910348">
    <w:abstractNumId w:val="5"/>
  </w:num>
  <w:num w:numId="25" w16cid:durableId="1555461439">
    <w:abstractNumId w:val="7"/>
  </w:num>
  <w:num w:numId="26" w16cid:durableId="1332559755">
    <w:abstractNumId w:val="7"/>
  </w:num>
  <w:num w:numId="27" w16cid:durableId="823740373">
    <w:abstractNumId w:val="4"/>
  </w:num>
  <w:num w:numId="28" w16cid:durableId="1910964580">
    <w:abstractNumId w:val="2"/>
  </w:num>
  <w:num w:numId="29" w16cid:durableId="15732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4DFC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27CF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174</cp:revision>
  <dcterms:created xsi:type="dcterms:W3CDTF">2022-08-16T07:17:00Z</dcterms:created>
  <dcterms:modified xsi:type="dcterms:W3CDTF">2023-01-17T16:39:00Z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